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03B" w:rsidRDefault="00EB403B">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Документ предоставлен </w:t>
      </w:r>
      <w:hyperlink r:id="rId5" w:history="1">
        <w:r>
          <w:rPr>
            <w:rFonts w:ascii="Times New Roman" w:hAnsi="Times New Roman" w:cs="Times New Roman"/>
            <w:color w:val="0000FF"/>
          </w:rPr>
          <w:t>КонсультантПлюс</w:t>
        </w:r>
      </w:hyperlink>
      <w:r>
        <w:rPr>
          <w:rFonts w:ascii="Times New Roman" w:hAnsi="Times New Roman" w:cs="Times New Roman"/>
        </w:rPr>
        <w:br/>
      </w:r>
    </w:p>
    <w:p w:rsidR="00EB403B" w:rsidRDefault="00EB403B">
      <w:pPr>
        <w:widowControl w:val="0"/>
        <w:autoSpaceDE w:val="0"/>
        <w:autoSpaceDN w:val="0"/>
        <w:adjustRightInd w:val="0"/>
        <w:spacing w:after="0" w:line="240" w:lineRule="auto"/>
        <w:jc w:val="both"/>
        <w:outlineLvl w:val="0"/>
        <w:rPr>
          <w:rFonts w:ascii="Calibri" w:hAnsi="Calibri" w:cs="Calibri"/>
        </w:rPr>
      </w:pPr>
    </w:p>
    <w:p w:rsidR="00EB403B" w:rsidRDefault="00EB403B">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EB403B" w:rsidRDefault="00EB403B">
      <w:pPr>
        <w:widowControl w:val="0"/>
        <w:autoSpaceDE w:val="0"/>
        <w:autoSpaceDN w:val="0"/>
        <w:adjustRightInd w:val="0"/>
        <w:spacing w:after="0" w:line="240" w:lineRule="auto"/>
        <w:jc w:val="center"/>
        <w:rPr>
          <w:rFonts w:ascii="Calibri" w:hAnsi="Calibri" w:cs="Calibri"/>
          <w:b/>
          <w:bCs/>
        </w:rPr>
      </w:pPr>
    </w:p>
    <w:p w:rsidR="00EB403B" w:rsidRDefault="00EB4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EB403B" w:rsidRDefault="00EB4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13 октября 2014 г. N 1047</w:t>
      </w:r>
    </w:p>
    <w:p w:rsidR="00EB403B" w:rsidRDefault="00EB403B">
      <w:pPr>
        <w:widowControl w:val="0"/>
        <w:autoSpaceDE w:val="0"/>
        <w:autoSpaceDN w:val="0"/>
        <w:adjustRightInd w:val="0"/>
        <w:spacing w:after="0" w:line="240" w:lineRule="auto"/>
        <w:jc w:val="center"/>
        <w:rPr>
          <w:rFonts w:ascii="Calibri" w:hAnsi="Calibri" w:cs="Calibri"/>
          <w:b/>
          <w:bCs/>
        </w:rPr>
      </w:pPr>
    </w:p>
    <w:p w:rsidR="00EB403B" w:rsidRDefault="00EB4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ОБЩИХ ТРЕБОВАНИЯХ</w:t>
      </w:r>
    </w:p>
    <w:p w:rsidR="00EB403B" w:rsidRDefault="00EB4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ОПРЕДЕЛЕНИЮ НОРМАТИВНЫХ ЗАТРАТ НА ОБЕСПЕЧЕНИЕ ФУНКЦИЙ</w:t>
      </w:r>
    </w:p>
    <w:p w:rsidR="00EB403B" w:rsidRDefault="00EB4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ГОСУДАРСТВЕННЫХ ОРГАНОВ, ОРГАНОВ УПРАВЛЕНИЯ</w:t>
      </w:r>
    </w:p>
    <w:p w:rsidR="00EB403B" w:rsidRDefault="00EB4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ГОСУДАРСТВЕННЫМИ ВНЕБЮДЖЕТНЫМИ ФОНДАМИ</w:t>
      </w:r>
    </w:p>
    <w:p w:rsidR="00EB403B" w:rsidRDefault="00EB4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МУНИЦИПАЛЬНЫХ ОРГАНОВ</w:t>
      </w:r>
    </w:p>
    <w:p w:rsidR="00EB403B" w:rsidRDefault="00EB403B">
      <w:pPr>
        <w:widowControl w:val="0"/>
        <w:autoSpaceDE w:val="0"/>
        <w:autoSpaceDN w:val="0"/>
        <w:adjustRightInd w:val="0"/>
        <w:spacing w:after="0" w:line="240" w:lineRule="auto"/>
        <w:jc w:val="both"/>
        <w:rPr>
          <w:rFonts w:ascii="Calibri" w:hAnsi="Calibri" w:cs="Calibri"/>
        </w:rPr>
      </w:pP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6" w:history="1">
        <w:r>
          <w:rPr>
            <w:rFonts w:ascii="Calibri" w:hAnsi="Calibri" w:cs="Calibri"/>
            <w:color w:val="0000FF"/>
          </w:rPr>
          <w:t>пунктом 2 части 3 статьи 19</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прилагаемые общие </w:t>
      </w:r>
      <w:hyperlink w:anchor="Par30" w:history="1">
        <w:r>
          <w:rPr>
            <w:rFonts w:ascii="Calibri" w:hAnsi="Calibri" w:cs="Calibri"/>
            <w:color w:val="0000FF"/>
          </w:rPr>
          <w:t>требования</w:t>
        </w:r>
      </w:hyperlink>
      <w:r>
        <w:rPr>
          <w:rFonts w:ascii="Calibri" w:hAnsi="Calibri" w:cs="Calibri"/>
        </w:rPr>
        <w:t xml:space="preserve">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(далее - общие требования).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Установить, что общие требования применяются при определении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 целях обоснования объекта и (или) объектов закупки, включаемых в план закупки, в соответствии со </w:t>
      </w:r>
      <w:hyperlink r:id="rId7" w:history="1">
        <w:r>
          <w:rPr>
            <w:rFonts w:ascii="Calibri" w:hAnsi="Calibri" w:cs="Calibri"/>
            <w:color w:val="0000FF"/>
          </w:rPr>
          <w:t>статьями 18</w:t>
        </w:r>
      </w:hyperlink>
      <w:r>
        <w:rPr>
          <w:rFonts w:ascii="Calibri" w:hAnsi="Calibri" w:cs="Calibri"/>
        </w:rPr>
        <w:t xml:space="preserve"> и </w:t>
      </w:r>
      <w:hyperlink r:id="rId8" w:history="1">
        <w:r>
          <w:rPr>
            <w:rFonts w:ascii="Calibri" w:hAnsi="Calibri" w:cs="Calibri"/>
            <w:color w:val="0000FF"/>
          </w:rPr>
          <w:t>19</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w:t>
      </w:r>
      <w:proofErr w:type="gramEnd"/>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Настоящее постановление вступает в силу с 1 января 2015 г.</w:t>
      </w:r>
    </w:p>
    <w:p w:rsidR="00EB403B" w:rsidRDefault="00EB403B">
      <w:pPr>
        <w:widowControl w:val="0"/>
        <w:autoSpaceDE w:val="0"/>
        <w:autoSpaceDN w:val="0"/>
        <w:adjustRightInd w:val="0"/>
        <w:spacing w:after="0" w:line="240" w:lineRule="auto"/>
        <w:jc w:val="both"/>
        <w:rPr>
          <w:rFonts w:ascii="Calibri" w:hAnsi="Calibri" w:cs="Calibri"/>
        </w:rPr>
      </w:pPr>
    </w:p>
    <w:p w:rsidR="00EB403B" w:rsidRDefault="00EB403B">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EB403B" w:rsidRDefault="00EB403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EB403B" w:rsidRDefault="00EB403B">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EB403B" w:rsidRDefault="00EB403B">
      <w:pPr>
        <w:widowControl w:val="0"/>
        <w:autoSpaceDE w:val="0"/>
        <w:autoSpaceDN w:val="0"/>
        <w:adjustRightInd w:val="0"/>
        <w:spacing w:after="0" w:line="240" w:lineRule="auto"/>
        <w:jc w:val="both"/>
        <w:rPr>
          <w:rFonts w:ascii="Calibri" w:hAnsi="Calibri" w:cs="Calibri"/>
        </w:rPr>
      </w:pPr>
    </w:p>
    <w:p w:rsidR="00EB403B" w:rsidRDefault="00EB403B">
      <w:pPr>
        <w:widowControl w:val="0"/>
        <w:autoSpaceDE w:val="0"/>
        <w:autoSpaceDN w:val="0"/>
        <w:adjustRightInd w:val="0"/>
        <w:spacing w:after="0" w:line="240" w:lineRule="auto"/>
        <w:jc w:val="both"/>
        <w:rPr>
          <w:rFonts w:ascii="Calibri" w:hAnsi="Calibri" w:cs="Calibri"/>
        </w:rPr>
      </w:pPr>
    </w:p>
    <w:p w:rsidR="00EB403B" w:rsidRDefault="00EB403B">
      <w:pPr>
        <w:widowControl w:val="0"/>
        <w:autoSpaceDE w:val="0"/>
        <w:autoSpaceDN w:val="0"/>
        <w:adjustRightInd w:val="0"/>
        <w:spacing w:after="0" w:line="240" w:lineRule="auto"/>
        <w:jc w:val="both"/>
        <w:rPr>
          <w:rFonts w:ascii="Calibri" w:hAnsi="Calibri" w:cs="Calibri"/>
        </w:rPr>
      </w:pPr>
    </w:p>
    <w:p w:rsidR="00EB403B" w:rsidRDefault="00EB403B">
      <w:pPr>
        <w:widowControl w:val="0"/>
        <w:autoSpaceDE w:val="0"/>
        <w:autoSpaceDN w:val="0"/>
        <w:adjustRightInd w:val="0"/>
        <w:spacing w:after="0" w:line="240" w:lineRule="auto"/>
        <w:jc w:val="both"/>
        <w:rPr>
          <w:rFonts w:ascii="Calibri" w:hAnsi="Calibri" w:cs="Calibri"/>
        </w:rPr>
      </w:pPr>
    </w:p>
    <w:p w:rsidR="00EB403B" w:rsidRDefault="00EB403B">
      <w:pPr>
        <w:widowControl w:val="0"/>
        <w:autoSpaceDE w:val="0"/>
        <w:autoSpaceDN w:val="0"/>
        <w:adjustRightInd w:val="0"/>
        <w:spacing w:after="0" w:line="240" w:lineRule="auto"/>
        <w:jc w:val="both"/>
        <w:rPr>
          <w:rFonts w:ascii="Calibri" w:hAnsi="Calibri" w:cs="Calibri"/>
        </w:rPr>
      </w:pPr>
    </w:p>
    <w:p w:rsidR="00EB403B" w:rsidRDefault="00EB403B">
      <w:pPr>
        <w:widowControl w:val="0"/>
        <w:autoSpaceDE w:val="0"/>
        <w:autoSpaceDN w:val="0"/>
        <w:adjustRightInd w:val="0"/>
        <w:spacing w:after="0" w:line="240" w:lineRule="auto"/>
        <w:jc w:val="right"/>
        <w:outlineLvl w:val="0"/>
        <w:rPr>
          <w:rFonts w:ascii="Calibri" w:hAnsi="Calibri" w:cs="Calibri"/>
        </w:rPr>
      </w:pPr>
      <w:bookmarkStart w:id="1" w:name="Par25"/>
      <w:bookmarkEnd w:id="1"/>
      <w:r>
        <w:rPr>
          <w:rFonts w:ascii="Calibri" w:hAnsi="Calibri" w:cs="Calibri"/>
        </w:rPr>
        <w:t>Утверждены</w:t>
      </w:r>
    </w:p>
    <w:p w:rsidR="00EB403B" w:rsidRDefault="00EB403B">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EB403B" w:rsidRDefault="00EB403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EB403B" w:rsidRDefault="00EB403B">
      <w:pPr>
        <w:widowControl w:val="0"/>
        <w:autoSpaceDE w:val="0"/>
        <w:autoSpaceDN w:val="0"/>
        <w:adjustRightInd w:val="0"/>
        <w:spacing w:after="0" w:line="240" w:lineRule="auto"/>
        <w:jc w:val="right"/>
        <w:rPr>
          <w:rFonts w:ascii="Calibri" w:hAnsi="Calibri" w:cs="Calibri"/>
        </w:rPr>
      </w:pPr>
      <w:r>
        <w:rPr>
          <w:rFonts w:ascii="Calibri" w:hAnsi="Calibri" w:cs="Calibri"/>
        </w:rPr>
        <w:t>от 13 октября 2014 г. N 1047</w:t>
      </w:r>
    </w:p>
    <w:p w:rsidR="00EB403B" w:rsidRDefault="00EB403B">
      <w:pPr>
        <w:widowControl w:val="0"/>
        <w:autoSpaceDE w:val="0"/>
        <w:autoSpaceDN w:val="0"/>
        <w:adjustRightInd w:val="0"/>
        <w:spacing w:after="0" w:line="240" w:lineRule="auto"/>
        <w:jc w:val="both"/>
        <w:rPr>
          <w:rFonts w:ascii="Calibri" w:hAnsi="Calibri" w:cs="Calibri"/>
        </w:rPr>
      </w:pPr>
    </w:p>
    <w:p w:rsidR="00EB403B" w:rsidRDefault="00EB403B">
      <w:pPr>
        <w:widowControl w:val="0"/>
        <w:autoSpaceDE w:val="0"/>
        <w:autoSpaceDN w:val="0"/>
        <w:adjustRightInd w:val="0"/>
        <w:spacing w:after="0" w:line="240" w:lineRule="auto"/>
        <w:jc w:val="center"/>
        <w:rPr>
          <w:rFonts w:ascii="Calibri" w:hAnsi="Calibri" w:cs="Calibri"/>
          <w:b/>
          <w:bCs/>
        </w:rPr>
      </w:pPr>
      <w:bookmarkStart w:id="2" w:name="Par30"/>
      <w:bookmarkEnd w:id="2"/>
      <w:r>
        <w:rPr>
          <w:rFonts w:ascii="Calibri" w:hAnsi="Calibri" w:cs="Calibri"/>
          <w:b/>
          <w:bCs/>
        </w:rPr>
        <w:t>ОБЩИЕ ТРЕБОВАНИЯ</w:t>
      </w:r>
    </w:p>
    <w:p w:rsidR="00EB403B" w:rsidRDefault="00EB4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ОПРЕДЕЛЕНИЮ НОРМАТИВНЫХ ЗАТРАТ НА ОБЕСПЕЧЕНИЕ ФУНКЦИЙ</w:t>
      </w:r>
    </w:p>
    <w:p w:rsidR="00EB403B" w:rsidRDefault="00EB4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ГОСУДАРСТВЕННЫХ ОРГАНОВ, ОРГАНОВ УПРАВЛЕНИЯ</w:t>
      </w:r>
    </w:p>
    <w:p w:rsidR="00EB403B" w:rsidRDefault="00EB4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ГОСУДАРСТВЕННЫМИ ВНЕБЮДЖЕТНЫМИ ФОНДАМИ</w:t>
      </w:r>
    </w:p>
    <w:p w:rsidR="00EB403B" w:rsidRDefault="00EB40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МУНИЦИПАЛЬНЫХ ОРГАНОВ</w:t>
      </w:r>
    </w:p>
    <w:p w:rsidR="00EB403B" w:rsidRDefault="00EB403B">
      <w:pPr>
        <w:widowControl w:val="0"/>
        <w:autoSpaceDE w:val="0"/>
        <w:autoSpaceDN w:val="0"/>
        <w:adjustRightInd w:val="0"/>
        <w:spacing w:after="0" w:line="240" w:lineRule="auto"/>
        <w:jc w:val="both"/>
        <w:rPr>
          <w:rFonts w:ascii="Calibri" w:hAnsi="Calibri" w:cs="Calibri"/>
        </w:rPr>
      </w:pPr>
    </w:p>
    <w:p w:rsidR="00EB403B" w:rsidRDefault="00EB403B">
      <w:pPr>
        <w:widowControl w:val="0"/>
        <w:autoSpaceDE w:val="0"/>
        <w:autoSpaceDN w:val="0"/>
        <w:adjustRightInd w:val="0"/>
        <w:spacing w:after="0" w:line="240" w:lineRule="auto"/>
        <w:jc w:val="center"/>
        <w:outlineLvl w:val="1"/>
        <w:rPr>
          <w:rFonts w:ascii="Calibri" w:hAnsi="Calibri" w:cs="Calibri"/>
        </w:rPr>
      </w:pPr>
      <w:bookmarkStart w:id="3" w:name="Par36"/>
      <w:bookmarkEnd w:id="3"/>
      <w:r>
        <w:rPr>
          <w:rFonts w:ascii="Calibri" w:hAnsi="Calibri" w:cs="Calibri"/>
        </w:rPr>
        <w:t>I. Общие положения</w:t>
      </w:r>
    </w:p>
    <w:p w:rsidR="00EB403B" w:rsidRDefault="00EB403B">
      <w:pPr>
        <w:widowControl w:val="0"/>
        <w:autoSpaceDE w:val="0"/>
        <w:autoSpaceDN w:val="0"/>
        <w:adjustRightInd w:val="0"/>
        <w:spacing w:after="0" w:line="240" w:lineRule="auto"/>
        <w:jc w:val="both"/>
        <w:rPr>
          <w:rFonts w:ascii="Calibri" w:hAnsi="Calibri" w:cs="Calibri"/>
        </w:rPr>
      </w:pP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Настоящий документ устанавливает порядок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 части закупок товаров, работ и услуг для обоснования объекта и (или) объектов закупки, включенных в план закупок в соответствии с </w:t>
      </w:r>
      <w:hyperlink r:id="rId9" w:history="1">
        <w:r>
          <w:rPr>
            <w:rFonts w:ascii="Calibri" w:hAnsi="Calibri" w:cs="Calibri"/>
            <w:color w:val="0000FF"/>
          </w:rPr>
          <w:t>частью 2 статьи 18</w:t>
        </w:r>
      </w:hyperlink>
      <w:r>
        <w:rPr>
          <w:rFonts w:ascii="Calibri" w:hAnsi="Calibri" w:cs="Calibri"/>
        </w:rPr>
        <w:t xml:space="preserve"> Федерального закона "О контрактной системе в сфере закупок товаров, работ, </w:t>
      </w:r>
      <w:r>
        <w:rPr>
          <w:rFonts w:ascii="Calibri" w:hAnsi="Calibri" w:cs="Calibri"/>
        </w:rPr>
        <w:lastRenderedPageBreak/>
        <w:t>услуг для обеспечения государственных и</w:t>
      </w:r>
      <w:proofErr w:type="gramEnd"/>
      <w:r>
        <w:rPr>
          <w:rFonts w:ascii="Calibri" w:hAnsi="Calibri" w:cs="Calibri"/>
        </w:rPr>
        <w:t xml:space="preserve"> муниципальных нужд" (далее - нормативные затраты).</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В соответствии с </w:t>
      </w:r>
      <w:hyperlink r:id="rId10" w:history="1">
        <w:r>
          <w:rPr>
            <w:rFonts w:ascii="Calibri" w:hAnsi="Calibri" w:cs="Calibri"/>
            <w:color w:val="0000FF"/>
          </w:rPr>
          <w:t>пунктом 2 части 4 статьи 19</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 и настоящим документом Правительство Российской Федерации, высшие исполнительные органы государственной власти субъектов Российской Федерации и местные администрации устанавливают требования к определению нормативных затрат соответственно федеральных государственных органов, органов управления государственными внебюджетными фондами Российской Федерации</w:t>
      </w:r>
      <w:proofErr w:type="gramEnd"/>
      <w:r>
        <w:rPr>
          <w:rFonts w:ascii="Calibri" w:hAnsi="Calibri" w:cs="Calibri"/>
        </w:rPr>
        <w:t>, государственных органов субъектов Российской Федерации, органов управления территориальными государственными внебюджетными фондами и муниципальных органов, в том числе подведомственных им казенных учреждений (далее - требования к определению нормативных затрат).</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органы, органы управления государственными внебюджетными фондами и муниципальные органы утверждают нормативные затраты в соответствии с требованиями к определению нормативных затрат, а также вносят изменения в нормативные затраты.</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Общий объем затрат, связанных с закупкой товаров, работ и услуг, рассчитанный на основе нормативных затрат, не может превышать объема лимитов бюджетных обязательств, доведенных до федеральных государственных органов, органов управления государственными внебюджетными фондами Российской Федерации, государственных органов субъектов Российской Федерации, органов управления территориальными государственными внебюджетными фондами, муниципальных органов как получателей средств соответствующего бюджета на закупку товаров, работ и услуг в рамках</w:t>
      </w:r>
      <w:proofErr w:type="gramEnd"/>
      <w:r>
        <w:rPr>
          <w:rFonts w:ascii="Calibri" w:hAnsi="Calibri" w:cs="Calibri"/>
        </w:rPr>
        <w:t xml:space="preserve"> исполнения соответственно федерального бюджета,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Для расчета нормативных затрат по видам затрат, предусмотренным </w:t>
      </w:r>
      <w:hyperlink w:anchor="Par46" w:history="1">
        <w:r>
          <w:rPr>
            <w:rFonts w:ascii="Calibri" w:hAnsi="Calibri" w:cs="Calibri"/>
            <w:color w:val="0000FF"/>
          </w:rPr>
          <w:t>пунктом 6</w:t>
        </w:r>
      </w:hyperlink>
      <w:r>
        <w:rPr>
          <w:rFonts w:ascii="Calibri" w:hAnsi="Calibri" w:cs="Calibri"/>
        </w:rPr>
        <w:t xml:space="preserve"> настоящего документа, требованиями к определению нормативных затрат предусматриваются формулы расчета и порядок их применения, порядок расчета, не предусматривающий применение формул, а также может предоставляться в соответствии с требованиями к определению нормативных затрат государственным органам, органам управления государственными внебюджетными фондами и муниципальным органам при утверждении нормативных затрат право устанавливать иные формулы</w:t>
      </w:r>
      <w:proofErr w:type="gramEnd"/>
      <w:r>
        <w:rPr>
          <w:rFonts w:ascii="Calibri" w:hAnsi="Calibri" w:cs="Calibri"/>
        </w:rPr>
        <w:t xml:space="preserve"> расчета и порядок их применения.</w:t>
      </w:r>
    </w:p>
    <w:p w:rsidR="00EB403B" w:rsidRDefault="00EB403B">
      <w:pPr>
        <w:widowControl w:val="0"/>
        <w:autoSpaceDE w:val="0"/>
        <w:autoSpaceDN w:val="0"/>
        <w:adjustRightInd w:val="0"/>
        <w:spacing w:after="0" w:line="240" w:lineRule="auto"/>
        <w:jc w:val="both"/>
        <w:rPr>
          <w:rFonts w:ascii="Calibri" w:hAnsi="Calibri" w:cs="Calibri"/>
        </w:rPr>
      </w:pPr>
    </w:p>
    <w:p w:rsidR="00EB403B" w:rsidRDefault="00EB403B">
      <w:pPr>
        <w:widowControl w:val="0"/>
        <w:autoSpaceDE w:val="0"/>
        <w:autoSpaceDN w:val="0"/>
        <w:adjustRightInd w:val="0"/>
        <w:spacing w:after="0" w:line="240" w:lineRule="auto"/>
        <w:jc w:val="center"/>
        <w:outlineLvl w:val="1"/>
        <w:rPr>
          <w:rFonts w:ascii="Calibri" w:hAnsi="Calibri" w:cs="Calibri"/>
        </w:rPr>
      </w:pPr>
      <w:bookmarkStart w:id="4" w:name="Par44"/>
      <w:bookmarkEnd w:id="4"/>
      <w:r>
        <w:rPr>
          <w:rFonts w:ascii="Calibri" w:hAnsi="Calibri" w:cs="Calibri"/>
        </w:rPr>
        <w:t>II. Виды и состав нормативных затрат</w:t>
      </w:r>
    </w:p>
    <w:p w:rsidR="00EB403B" w:rsidRDefault="00EB403B">
      <w:pPr>
        <w:widowControl w:val="0"/>
        <w:autoSpaceDE w:val="0"/>
        <w:autoSpaceDN w:val="0"/>
        <w:adjustRightInd w:val="0"/>
        <w:spacing w:after="0" w:line="240" w:lineRule="auto"/>
        <w:jc w:val="both"/>
        <w:rPr>
          <w:rFonts w:ascii="Calibri" w:hAnsi="Calibri" w:cs="Calibri"/>
        </w:rPr>
      </w:pPr>
    </w:p>
    <w:p w:rsidR="00EB403B" w:rsidRDefault="00EB403B">
      <w:pPr>
        <w:widowControl w:val="0"/>
        <w:autoSpaceDE w:val="0"/>
        <w:autoSpaceDN w:val="0"/>
        <w:adjustRightInd w:val="0"/>
        <w:spacing w:after="0" w:line="240" w:lineRule="auto"/>
        <w:ind w:firstLine="540"/>
        <w:jc w:val="both"/>
        <w:rPr>
          <w:rFonts w:ascii="Calibri" w:hAnsi="Calibri" w:cs="Calibri"/>
        </w:rPr>
      </w:pPr>
      <w:bookmarkStart w:id="5" w:name="Par46"/>
      <w:bookmarkEnd w:id="5"/>
      <w:r>
        <w:rPr>
          <w:rFonts w:ascii="Calibri" w:hAnsi="Calibri" w:cs="Calibri"/>
        </w:rPr>
        <w:t>6. К видам нормативных затрат относятся: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затраты на закупку товаров, работ и услуг для обеспечения горюче-смазочными материалами и вещевого обеспечения органов в сфере национальной безопасности, правоохранительной деятельности и обороны вне рамок государственного оборонного заказа;</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затраты на закупку товаров, работ и услуг в целях формирования государственного материального резерва, в том числе в рамках государственного оборонного заказа;</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затраты на научно-исследовательские и опытно-конструкторские работы;</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затраты на информационно-коммуникационные технологии;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затраты на капитальный ремонт государственного (муниципального) имущества;</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затраты на дополнительное профессиональное образование работников;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прочие затраты (в том числе затраты на закупку товаров, работ и услуг в целях оказания государственных (муниципальных) услуг (выполнения работ) и реализации государственных (муниципальных) функций).</w:t>
      </w:r>
    </w:p>
    <w:p w:rsidR="00EB403B" w:rsidRDefault="00EB403B">
      <w:pPr>
        <w:widowControl w:val="0"/>
        <w:autoSpaceDE w:val="0"/>
        <w:autoSpaceDN w:val="0"/>
        <w:adjustRightInd w:val="0"/>
        <w:spacing w:after="0" w:line="240" w:lineRule="auto"/>
        <w:ind w:firstLine="540"/>
        <w:jc w:val="both"/>
        <w:rPr>
          <w:rFonts w:ascii="Calibri" w:hAnsi="Calibri" w:cs="Calibri"/>
        </w:rPr>
      </w:pPr>
      <w:bookmarkStart w:id="6" w:name="Par55"/>
      <w:bookmarkEnd w:id="6"/>
      <w:r>
        <w:rPr>
          <w:rFonts w:ascii="Calibri" w:hAnsi="Calibri" w:cs="Calibri"/>
        </w:rPr>
        <w:t xml:space="preserve">7. Отнесение затрат к одному из видов затрат, предусмотренных </w:t>
      </w:r>
      <w:hyperlink w:anchor="Par46" w:history="1">
        <w:r>
          <w:rPr>
            <w:rFonts w:ascii="Calibri" w:hAnsi="Calibri" w:cs="Calibri"/>
            <w:color w:val="0000FF"/>
          </w:rPr>
          <w:t>пунктом 6</w:t>
        </w:r>
      </w:hyperlink>
      <w:r>
        <w:rPr>
          <w:rFonts w:ascii="Calibri" w:hAnsi="Calibri" w:cs="Calibri"/>
        </w:rPr>
        <w:t xml:space="preserve"> настоящего документа, осуществляется в соответствии с положениями правового акта Министерства </w:t>
      </w:r>
      <w:r>
        <w:rPr>
          <w:rFonts w:ascii="Calibri" w:hAnsi="Calibri" w:cs="Calibri"/>
        </w:rPr>
        <w:lastRenderedPageBreak/>
        <w:t>финансов Российской Федерации, регулирующего порядок применения бюджетной классификации Российской Федерации.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Затраты на закупку товаров, работ и услуг для обеспечения горюче-смазочными материалами и вещевого обеспечения органов в сфере национальной безопасности, правоохранительной деятельности и обороны вне рамок государственного оборонного заказа включают в себя: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затраты на транспортные услуги;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затраты на аренду;</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затраты на содержание имущества;</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затраты на приобретение прочих работ и услуг, не относящихся к затратам на транспортные услуги, аренду и содержание имущества;</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затраты на приобретение основных средств;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затраты на приобретение материальных запасов;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иные затраты на закупку товаров, работ и услуг для обеспечения горюче-смазочными материалами и вещевого обеспечения органов в сфере национальной безопасности, правоохранительной деятельности и обороны вне рамок государственного оборонного заказа.</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Затраты на закупку товаров, работ и услуг в целях формирования государственного материального резерва, в том числе в рамках государственного оборонного заказа, включают в себя: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затраты на услуги связи;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затраты на транспортные услуги;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затраты на аренду;</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затраты на содержание имущества;</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затраты на приобретение прочих работ и услуг, не относящихся к затратам на услуги связи, транспортные услуги, аренду и содержание имущества;</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затраты на приобретение основных средств;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затраты на приобретение нематериальных активов;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затраты на приобретение материальных запасов;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иные затраты на закупку товаров, работ и услуг в целях формирования государственного материального резерва, в том числе в рамках государственного оборонного заказа.</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Затраты на научно-исследовательские и опытно-конструкторские работы включают в себя затраты на приобретение работ, услуг и нематериальных активов.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Затраты на приобретение нематериальных активов включают в себя: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затраты на приобретение исключительных прав на ноу-хау и объекты смежных прав;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затраты на приобретение исключительных прав на научные разработки и изобретения;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затраты на приобретение нематериальных активов в рамках выполнения научно-исследовательских и опытно-конструкторских работ.</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Затраты на информационно-коммуникационные технологии включают в себя: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затраты на услуги связи;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затраты на аренду;</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затраты на содержание имущества;</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затраты на приобретение прочих работ и услуг, не относящихся к затратам на услуги связи, аренду и содержание имущества;</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затраты на приобретение основных средств;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затраты на приобретение нематериальных активов;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затраты на приобретение материальных запасов в сфере информационно-коммуникационных технологий;</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затраты в сфере информационно-коммуникационных технологий.</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Затраты на услуги связи включают в себя: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абонентскую плату;</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повременную оплату местных, междугородних и международных телефонных соединений;</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оплату услуг подвижной связи;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передачу данных с использованием информационно-</w:t>
      </w:r>
      <w:r>
        <w:rPr>
          <w:rFonts w:ascii="Calibri" w:hAnsi="Calibri" w:cs="Calibri"/>
        </w:rPr>
        <w:lastRenderedPageBreak/>
        <w:t>телекоммуникационной сети "Интернет" и услуг интернет-провайдеров для планшетных компьютеров;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передачу данных с использованием информационно-телекоммуникационной сети "Интернет" и услуг интернет-провайдеров;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электросвязь, относящуюся к связи специального назначения, используемой на региональном уровне;</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электросвязь, относящуюся к связи специального назначения, используемой на федеральном уровне;</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оплату услуг по предоставлению цифровых потоков для коммутируемых телефонных соединений;</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иные услуги связи в сфере информационно-коммуникационных технологий.</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Затраты на содержание имущества включают в себя: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техническое обслуживание и регламентно-профилактический ремонт вычислительной техники;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техническое обслуживание и регламентно-профилактический ремонт оборудования по обеспечению безопасности информации;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техническое обслуживание и регламентно-профилактический ремонт системы телефонной связи (автоматизированных телефонных станций);</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техническое обслуживание и регламентно-профилактический ремонт локальных вычислительных сетей;</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техническое обслуживание и регламентно-профилактический ремонт систем бесперебойного питания;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техническое обслуживание и регламентно-профилактический ремонт принтеров, многофункциональных устройств и копировальных аппаратов (оргтехники);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нормативные затраты, относящиеся к затратам на содержание имущества в сфере информационно-коммуникационных технологий.</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Затраты на приобретение прочих работ и услуг, не относящихся к затратам на услуги связи, аренду и содержание имущества, включают в себя: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оплату услуг, связанных с обеспечением безопасности информации;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оплату работ по монтажу (установке), дооборудованию и наладке оборудования;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нормативные затраты, относящиеся к затратам на приобретение прочих работ и услуг, не относящихся к затратам на услуги связи, аренду и содержание имущества, в сфере информационно-коммуникационных технологий.</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Затраты на приобретение основных сре</w:t>
      </w:r>
      <w:proofErr w:type="gramStart"/>
      <w:r>
        <w:rPr>
          <w:rFonts w:ascii="Calibri" w:hAnsi="Calibri" w:cs="Calibri"/>
        </w:rPr>
        <w:t>дств вкл</w:t>
      </w:r>
      <w:proofErr w:type="gramEnd"/>
      <w:r>
        <w:rPr>
          <w:rFonts w:ascii="Calibri" w:hAnsi="Calibri" w:cs="Calibri"/>
        </w:rPr>
        <w:t>ючают в себя: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приобретение рабочих станций;</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приобретение принтеров, многофункциональных устройств и копировальных аппаратов (оргтехники);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приобретение средств подвижной связи;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приобретение планшетных компьютеров;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приобретение оборудования по обеспечению безопасности информации;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нормативные затраты, относящиеся к затратам на приобретение основных сре</w:t>
      </w:r>
      <w:proofErr w:type="gramStart"/>
      <w:r>
        <w:rPr>
          <w:rFonts w:ascii="Calibri" w:hAnsi="Calibri" w:cs="Calibri"/>
        </w:rPr>
        <w:t>дств в сф</w:t>
      </w:r>
      <w:proofErr w:type="gramEnd"/>
      <w:r>
        <w:rPr>
          <w:rFonts w:ascii="Calibri" w:hAnsi="Calibri" w:cs="Calibri"/>
        </w:rPr>
        <w:t>ере информационно-коммуникационных технологий.</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Затраты на приобретение нематериальных активов определяются путем суммирования затрат на приобретение исключительных лицензий на использование программного обеспечения и затрат на доработку существующего прикладного программного обеспечения, числящегося на балансе государственного органа, органа управления государственными внебюджетными фондами, муниципального органа, их территориальных органов и других нематериальных активов </w:t>
      </w:r>
      <w:r>
        <w:rPr>
          <w:rFonts w:ascii="Calibri" w:hAnsi="Calibri" w:cs="Calibri"/>
        </w:rPr>
        <w:lastRenderedPageBreak/>
        <w:t>в сфере информационно-коммуникационных технологий.</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Затраты на приобретение материальных запасов в сфере информационно-коммуникационных технологий включают в себя: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приобретение мониторов;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приобретение системных блоков;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приобретение других запасных частей для вычислительной техники;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приобретение магнитных и оптических носителей информации;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приобретение деталей для содержания принтеров, многофункциональных устройств и копировальных аппаратов (оргтехники);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приобретение материальных запасов по обеспечению безопасности информации;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нормативные затраты, относящиеся к затратам на приобретение материальных запасов в сфере информационно-коммуникационных технологий.</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Затраты на капитальный ремонт государственного (муниципального) имущества включают в себя: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затраты на транспортные услуги;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затраты на аренду;</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затраты на содержание государственного (муниципального) имущества;</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затраты на приобретение прочих работ и услуг, не относящихся к затратам на транспортные услуги, аренду и содержание государственного (муниципального) имущества;</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затраты на приобретение основных средств;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затраты на приобретение материальных запасов;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иные затраты, связанные с осуществлением капитального ремонта государственного (муниципального) имущества.</w:t>
      </w:r>
    </w:p>
    <w:p w:rsidR="00EB403B" w:rsidRDefault="00EB403B">
      <w:pPr>
        <w:widowControl w:val="0"/>
        <w:autoSpaceDE w:val="0"/>
        <w:autoSpaceDN w:val="0"/>
        <w:adjustRightInd w:val="0"/>
        <w:spacing w:after="0" w:line="240" w:lineRule="auto"/>
        <w:ind w:firstLine="540"/>
        <w:jc w:val="both"/>
        <w:rPr>
          <w:rFonts w:ascii="Calibri" w:hAnsi="Calibri" w:cs="Calibri"/>
        </w:rPr>
      </w:pPr>
      <w:bookmarkStart w:id="7" w:name="Par135"/>
      <w:bookmarkEnd w:id="7"/>
      <w:r>
        <w:rPr>
          <w:rFonts w:ascii="Calibri" w:hAnsi="Calibri" w:cs="Calibri"/>
        </w:rPr>
        <w:t>13.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включают в себя: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затраты на аренду;</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затраты на приобретение прочих работ и услуг, не относящихся к затратам на аренду, связанных с осуществлением строительства, реконструкции (в том числе с элементами реставрации) и технического перевооружения;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затраты на приобретение основных средств и приобретение непроизведенных активов;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затраты на приобретение материальных запасов;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иные затраты, связанные со строительством, реконструкцией (в том числе с элементами реставрации), техническим перевооружением объектов капитального строительства или с приобретением объектов недвижимого имущества.</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proofErr w:type="gramStart"/>
      <w:r>
        <w:rPr>
          <w:rFonts w:ascii="Calibri" w:hAnsi="Calibri" w:cs="Calibri"/>
        </w:rPr>
        <w:t>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 а также иные затраты, связанные с обеспечением дополнительного профессионального образования в соответствии с нормативными правовыми актами о государственной гражданской службе, военной службе, правоохранительной службе, муниципальной службе и законодательством Российской Федерации об образовании.</w:t>
      </w:r>
      <w:proofErr w:type="gramEnd"/>
    </w:p>
    <w:p w:rsidR="00EB403B" w:rsidRDefault="00EB403B">
      <w:pPr>
        <w:widowControl w:val="0"/>
        <w:autoSpaceDE w:val="0"/>
        <w:autoSpaceDN w:val="0"/>
        <w:adjustRightInd w:val="0"/>
        <w:spacing w:after="0" w:line="240" w:lineRule="auto"/>
        <w:ind w:firstLine="540"/>
        <w:jc w:val="both"/>
        <w:rPr>
          <w:rFonts w:ascii="Calibri" w:hAnsi="Calibri" w:cs="Calibri"/>
        </w:rPr>
      </w:pPr>
      <w:bookmarkStart w:id="8" w:name="Par142"/>
      <w:bookmarkEnd w:id="8"/>
      <w:r>
        <w:rPr>
          <w:rFonts w:ascii="Calibri" w:hAnsi="Calibri" w:cs="Calibri"/>
        </w:rPr>
        <w:t xml:space="preserve">15. Прочие затраты (в том числе затраты на закупку товаров, работ и услуг в целях оказания государственных (муниципальных) услуг (выполнения работ) и реализации государственных (муниципальных) функций), не указанные в </w:t>
      </w:r>
      <w:hyperlink w:anchor="Par55" w:history="1">
        <w:r>
          <w:rPr>
            <w:rFonts w:ascii="Calibri" w:hAnsi="Calibri" w:cs="Calibri"/>
            <w:color w:val="0000FF"/>
          </w:rPr>
          <w:t>пунктах 7</w:t>
        </w:r>
      </w:hyperlink>
      <w:r>
        <w:rPr>
          <w:rFonts w:ascii="Calibri" w:hAnsi="Calibri" w:cs="Calibri"/>
        </w:rPr>
        <w:t xml:space="preserve"> - </w:t>
      </w:r>
      <w:hyperlink w:anchor="Par135" w:history="1">
        <w:r>
          <w:rPr>
            <w:rFonts w:ascii="Calibri" w:hAnsi="Calibri" w:cs="Calibri"/>
            <w:color w:val="0000FF"/>
          </w:rPr>
          <w:t>13</w:t>
        </w:r>
      </w:hyperlink>
      <w:r>
        <w:rPr>
          <w:rFonts w:ascii="Calibri" w:hAnsi="Calibri" w:cs="Calibri"/>
        </w:rPr>
        <w:t xml:space="preserve"> настоящего документа, включают в себя: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затраты на услуги связи;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затраты на транспортные услуги;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затраты на коммунальные услуги;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затраты на аренду помещений и оборудования;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затраты на содержание имущества;</w:t>
      </w:r>
    </w:p>
    <w:p w:rsidR="00EB403B" w:rsidRDefault="00EB403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затраты на приобретение прочих работ и услуг, не относящихся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содержание имущества;</w:t>
      </w:r>
      <w:proofErr w:type="gramEnd"/>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затраты на приобретение основных средств;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затраты на приобретение нематериальных активов;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затраты на приобретение материальных запасов, не отнесенные к затратам, указанным в </w:t>
      </w:r>
      <w:hyperlink w:anchor="Par55" w:history="1">
        <w:r>
          <w:rPr>
            <w:rFonts w:ascii="Calibri" w:hAnsi="Calibri" w:cs="Calibri"/>
            <w:color w:val="0000FF"/>
          </w:rPr>
          <w:t>пунктах 7</w:t>
        </w:r>
      </w:hyperlink>
      <w:r>
        <w:rPr>
          <w:rFonts w:ascii="Calibri" w:hAnsi="Calibri" w:cs="Calibri"/>
        </w:rPr>
        <w:t xml:space="preserve"> - </w:t>
      </w:r>
      <w:hyperlink w:anchor="Par135" w:history="1">
        <w:r>
          <w:rPr>
            <w:rFonts w:ascii="Calibri" w:hAnsi="Calibri" w:cs="Calibri"/>
            <w:color w:val="0000FF"/>
          </w:rPr>
          <w:t>13</w:t>
        </w:r>
      </w:hyperlink>
      <w:r>
        <w:rPr>
          <w:rFonts w:ascii="Calibri" w:hAnsi="Calibri" w:cs="Calibri"/>
        </w:rPr>
        <w:t xml:space="preserve"> настоящего документа;</w:t>
      </w:r>
    </w:p>
    <w:p w:rsidR="00EB403B" w:rsidRDefault="00EB403B">
      <w:pPr>
        <w:widowControl w:val="0"/>
        <w:autoSpaceDE w:val="0"/>
        <w:autoSpaceDN w:val="0"/>
        <w:adjustRightInd w:val="0"/>
        <w:spacing w:after="0" w:line="240" w:lineRule="auto"/>
        <w:ind w:firstLine="540"/>
        <w:jc w:val="both"/>
        <w:rPr>
          <w:rFonts w:ascii="Calibri" w:hAnsi="Calibri" w:cs="Calibri"/>
        </w:rPr>
      </w:pPr>
      <w:bookmarkStart w:id="9" w:name="Par153"/>
      <w:bookmarkEnd w:id="9"/>
      <w:r>
        <w:rPr>
          <w:rFonts w:ascii="Calibri" w:hAnsi="Calibri" w:cs="Calibri"/>
        </w:rPr>
        <w:t xml:space="preserve">иные прочие затраты, не отнесенные к иным затратам, указанным в </w:t>
      </w:r>
      <w:hyperlink w:anchor="Par55" w:history="1">
        <w:r>
          <w:rPr>
            <w:rFonts w:ascii="Calibri" w:hAnsi="Calibri" w:cs="Calibri"/>
            <w:color w:val="0000FF"/>
          </w:rPr>
          <w:t>пунктах 7</w:t>
        </w:r>
      </w:hyperlink>
      <w:r>
        <w:rPr>
          <w:rFonts w:ascii="Calibri" w:hAnsi="Calibri" w:cs="Calibri"/>
        </w:rPr>
        <w:t xml:space="preserve"> - </w:t>
      </w:r>
      <w:hyperlink w:anchor="Par135" w:history="1">
        <w:r>
          <w:rPr>
            <w:rFonts w:ascii="Calibri" w:hAnsi="Calibri" w:cs="Calibri"/>
            <w:color w:val="0000FF"/>
          </w:rPr>
          <w:t>13</w:t>
        </w:r>
      </w:hyperlink>
      <w:r>
        <w:rPr>
          <w:rFonts w:ascii="Calibri" w:hAnsi="Calibri" w:cs="Calibri"/>
        </w:rPr>
        <w:t xml:space="preserve"> настоящего документа.</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Затраты на услуги связи включают в себя: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оплату услуг почтовой связи;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оплату услуг специальной связи;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нормативные затраты, относящиеся к затратам на услуги связи в рамках затрат, указанных в </w:t>
      </w:r>
      <w:hyperlink w:anchor="Par142" w:history="1">
        <w:r>
          <w:rPr>
            <w:rFonts w:ascii="Calibri" w:hAnsi="Calibri" w:cs="Calibri"/>
            <w:color w:val="0000FF"/>
          </w:rPr>
          <w:t>абзацах первом</w:t>
        </w:r>
      </w:hyperlink>
      <w:r>
        <w:rPr>
          <w:rFonts w:ascii="Calibri" w:hAnsi="Calibri" w:cs="Calibri"/>
        </w:rPr>
        <w:t xml:space="preserve"> - </w:t>
      </w:r>
      <w:hyperlink w:anchor="Par153" w:history="1">
        <w:r>
          <w:rPr>
            <w:rFonts w:ascii="Calibri" w:hAnsi="Calibri" w:cs="Calibri"/>
            <w:color w:val="0000FF"/>
          </w:rPr>
          <w:t>двенадцатом</w:t>
        </w:r>
      </w:hyperlink>
      <w:r>
        <w:rPr>
          <w:rFonts w:ascii="Calibri" w:hAnsi="Calibri" w:cs="Calibri"/>
        </w:rPr>
        <w:t xml:space="preserve"> настоящего пункта.</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Затраты на транспортные услуги включают в себя: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по договору об оказании услуг перевозки (транспортировки) грузов;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оплату услуг аренды транспортных средств;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оплату разовых услуг пассажирских перевозок при проведении совещания;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оплату проезда работника к месту нахождения учебного заведения и обратно в соответствии с трудовым законодательством Российской Федерации;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нормативные затраты, относящиеся к затратам на транспортные услуги в рамках затрат, указанных в </w:t>
      </w:r>
      <w:hyperlink w:anchor="Par142" w:history="1">
        <w:r>
          <w:rPr>
            <w:rFonts w:ascii="Calibri" w:hAnsi="Calibri" w:cs="Calibri"/>
            <w:color w:val="0000FF"/>
          </w:rPr>
          <w:t>абзацах первом</w:t>
        </w:r>
      </w:hyperlink>
      <w:r>
        <w:rPr>
          <w:rFonts w:ascii="Calibri" w:hAnsi="Calibri" w:cs="Calibri"/>
        </w:rPr>
        <w:t xml:space="preserve"> - </w:t>
      </w:r>
      <w:hyperlink w:anchor="Par153" w:history="1">
        <w:r>
          <w:rPr>
            <w:rFonts w:ascii="Calibri" w:hAnsi="Calibri" w:cs="Calibri"/>
            <w:color w:val="0000FF"/>
          </w:rPr>
          <w:t>двенадцатом</w:t>
        </w:r>
      </w:hyperlink>
      <w:r>
        <w:rPr>
          <w:rFonts w:ascii="Calibri" w:hAnsi="Calibri" w:cs="Calibri"/>
        </w:rPr>
        <w:t xml:space="preserve"> настоящего пункта.</w:t>
      </w:r>
    </w:p>
    <w:p w:rsidR="00EB403B" w:rsidRDefault="00EB403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рассчитываются в соответствии с порядком и условиями командирования, которые установлены правовыми актами Президента Российской Федерации или Правительства Российской Федерации, высших исполнительных органов государственной власти субъектов Российской Федерации и местных администраций, с учетом показателей утвержденных планов-графиков</w:t>
      </w:r>
      <w:proofErr w:type="gramEnd"/>
      <w:r>
        <w:rPr>
          <w:rFonts w:ascii="Calibri" w:hAnsi="Calibri" w:cs="Calibri"/>
        </w:rPr>
        <w:t xml:space="preserve"> проведения совещаний, контрольных мероприятий и профессиональной подготовки работников. Затраты по договору о командировании работников определяются путем суммирования нормативных затрат на проезд к месту командирования и обратно и нормативных затрат по найму жилого помещения на период командирования в рамках затрат, указанных в </w:t>
      </w:r>
      <w:hyperlink w:anchor="Par142" w:history="1">
        <w:r>
          <w:rPr>
            <w:rFonts w:ascii="Calibri" w:hAnsi="Calibri" w:cs="Calibri"/>
            <w:color w:val="0000FF"/>
          </w:rPr>
          <w:t>абзацах первом</w:t>
        </w:r>
      </w:hyperlink>
      <w:r>
        <w:rPr>
          <w:rFonts w:ascii="Calibri" w:hAnsi="Calibri" w:cs="Calibri"/>
        </w:rPr>
        <w:t xml:space="preserve"> - </w:t>
      </w:r>
      <w:hyperlink w:anchor="Par153" w:history="1">
        <w:r>
          <w:rPr>
            <w:rFonts w:ascii="Calibri" w:hAnsi="Calibri" w:cs="Calibri"/>
            <w:color w:val="0000FF"/>
          </w:rPr>
          <w:t>двенадцатом</w:t>
        </w:r>
      </w:hyperlink>
      <w:r>
        <w:rPr>
          <w:rFonts w:ascii="Calibri" w:hAnsi="Calibri" w:cs="Calibri"/>
        </w:rPr>
        <w:t xml:space="preserve"> настоящего пункта.</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Затраты на коммунальные услуги включают в себя: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газоснабжение и иные виды топлива;</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электроснабжение;</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теплоснабжение;</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горячее водоснабжение;</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холодное водоснабжение и водоотведение;</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оплату услуг лиц, привлекаемых на основании гражданско-правовых договоров;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нормативные затраты, относящиеся к затратам на коммунальные услуги в рамках затрат, указанных в </w:t>
      </w:r>
      <w:hyperlink w:anchor="Par142" w:history="1">
        <w:r>
          <w:rPr>
            <w:rFonts w:ascii="Calibri" w:hAnsi="Calibri" w:cs="Calibri"/>
            <w:color w:val="0000FF"/>
          </w:rPr>
          <w:t>абзацах первом</w:t>
        </w:r>
      </w:hyperlink>
      <w:r>
        <w:rPr>
          <w:rFonts w:ascii="Calibri" w:hAnsi="Calibri" w:cs="Calibri"/>
        </w:rPr>
        <w:t xml:space="preserve"> - </w:t>
      </w:r>
      <w:hyperlink w:anchor="Par153" w:history="1">
        <w:r>
          <w:rPr>
            <w:rFonts w:ascii="Calibri" w:hAnsi="Calibri" w:cs="Calibri"/>
            <w:color w:val="0000FF"/>
          </w:rPr>
          <w:t>двенадцатом</w:t>
        </w:r>
      </w:hyperlink>
      <w:r>
        <w:rPr>
          <w:rFonts w:ascii="Calibri" w:hAnsi="Calibri" w:cs="Calibri"/>
        </w:rPr>
        <w:t xml:space="preserve"> настоящего пункта. Формирование затрат на коммунальные услуги осуществляется с учетом требований законодательства Российской Федерации об энергосбережении и о повышении энергетической эффективности.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Затраты на аренду помещений и оборудования включают в себя: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аренду помещений;</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аренду помещения (зала) для проведения совещания;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аренду оборудования для проведения совещания;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нормативные затраты, относящиеся к затратам на аренду помещений и оборудования </w:t>
      </w:r>
      <w:r>
        <w:rPr>
          <w:rFonts w:ascii="Calibri" w:hAnsi="Calibri" w:cs="Calibri"/>
        </w:rPr>
        <w:lastRenderedPageBreak/>
        <w:t xml:space="preserve">в рамках затрат, указанных в </w:t>
      </w:r>
      <w:hyperlink w:anchor="Par142" w:history="1">
        <w:r>
          <w:rPr>
            <w:rFonts w:ascii="Calibri" w:hAnsi="Calibri" w:cs="Calibri"/>
            <w:color w:val="0000FF"/>
          </w:rPr>
          <w:t>абзацах первом</w:t>
        </w:r>
      </w:hyperlink>
      <w:r>
        <w:rPr>
          <w:rFonts w:ascii="Calibri" w:hAnsi="Calibri" w:cs="Calibri"/>
        </w:rPr>
        <w:t xml:space="preserve"> - </w:t>
      </w:r>
      <w:hyperlink w:anchor="Par153" w:history="1">
        <w:r>
          <w:rPr>
            <w:rFonts w:ascii="Calibri" w:hAnsi="Calibri" w:cs="Calibri"/>
            <w:color w:val="0000FF"/>
          </w:rPr>
          <w:t>двенадцатом</w:t>
        </w:r>
      </w:hyperlink>
      <w:r>
        <w:rPr>
          <w:rFonts w:ascii="Calibri" w:hAnsi="Calibri" w:cs="Calibri"/>
        </w:rPr>
        <w:t xml:space="preserve"> настоящего пункта.</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Затраты на содержание имущества включают в себя: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содержание и техническое обслуживание помещений;</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техническое обслуживание и ремонт транспортных средств;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техническое обслуживание и регламентно-профилактический ремонт бытового оборудования;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техническое обслуживание и регламентно-профилактический ремонт иного оборудования;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оплату услуг лиц, привлекаемых на основании гражданско-правовых договоров;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нормативные затраты, относящиеся к затратам на содержание имущества в рамках затрат, указанных в </w:t>
      </w:r>
      <w:hyperlink w:anchor="Par142" w:history="1">
        <w:r>
          <w:rPr>
            <w:rFonts w:ascii="Calibri" w:hAnsi="Calibri" w:cs="Calibri"/>
            <w:color w:val="0000FF"/>
          </w:rPr>
          <w:t>абзацах первом</w:t>
        </w:r>
      </w:hyperlink>
      <w:r>
        <w:rPr>
          <w:rFonts w:ascii="Calibri" w:hAnsi="Calibri" w:cs="Calibri"/>
        </w:rPr>
        <w:t xml:space="preserve"> - </w:t>
      </w:r>
      <w:hyperlink w:anchor="Par153" w:history="1">
        <w:r>
          <w:rPr>
            <w:rFonts w:ascii="Calibri" w:hAnsi="Calibri" w:cs="Calibri"/>
            <w:color w:val="0000FF"/>
          </w:rPr>
          <w:t>двенадцатом</w:t>
        </w:r>
      </w:hyperlink>
      <w:r>
        <w:rPr>
          <w:rFonts w:ascii="Calibri" w:hAnsi="Calibri" w:cs="Calibri"/>
        </w:rPr>
        <w:t xml:space="preserve"> настоящего пункта.</w:t>
      </w:r>
    </w:p>
    <w:p w:rsidR="00EB403B" w:rsidRDefault="00EB403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Затраты на приобретение прочих работ и услуг, не относящихся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содержание имущества, включают в себя:</w:t>
      </w:r>
      <w:proofErr w:type="gramEnd"/>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оплату типографских работ и услуг, включая приобретение периодических печатных изданий;</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оплату услуг лиц, привлекаемых на основании гражданско-правовых договоров;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проведение предрейсового и послерейсового осмотра водителей транспортных средств;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аттестацию специальных помещений;</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проведение диспансеризации работников;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монтаж (установку), дооборудование и наладку оборудования;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оплату услуг вневедомственной охраны;</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нормативные затраты на приобретение </w:t>
      </w:r>
      <w:proofErr w:type="gramStart"/>
      <w:r>
        <w:rPr>
          <w:rFonts w:ascii="Calibri" w:hAnsi="Calibri" w:cs="Calibri"/>
        </w:rPr>
        <w:t>полисов обязательного страхования гражданской ответственности владельцев транспортных средств</w:t>
      </w:r>
      <w:proofErr w:type="gramEnd"/>
      <w:r>
        <w:rPr>
          <w:rFonts w:ascii="Calibri" w:hAnsi="Calibri" w:cs="Calibri"/>
        </w:rPr>
        <w:t>;</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оплату труда независимых экспертов;</w:t>
      </w:r>
    </w:p>
    <w:p w:rsidR="00EB403B" w:rsidRDefault="00EB403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иные нормативные затраты, относящиеся к затратам на приобретение прочих работ и услуг, не относящихся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и содержание имущества, в рамках</w:t>
      </w:r>
      <w:proofErr w:type="gramEnd"/>
      <w:r>
        <w:rPr>
          <w:rFonts w:ascii="Calibri" w:hAnsi="Calibri" w:cs="Calibri"/>
        </w:rPr>
        <w:t xml:space="preserve"> затрат, указанных в </w:t>
      </w:r>
      <w:hyperlink w:anchor="Par142" w:history="1">
        <w:r>
          <w:rPr>
            <w:rFonts w:ascii="Calibri" w:hAnsi="Calibri" w:cs="Calibri"/>
            <w:color w:val="0000FF"/>
          </w:rPr>
          <w:t>абзацах первом</w:t>
        </w:r>
      </w:hyperlink>
      <w:r>
        <w:rPr>
          <w:rFonts w:ascii="Calibri" w:hAnsi="Calibri" w:cs="Calibri"/>
        </w:rPr>
        <w:t xml:space="preserve"> - </w:t>
      </w:r>
      <w:hyperlink w:anchor="Par153" w:history="1">
        <w:r>
          <w:rPr>
            <w:rFonts w:ascii="Calibri" w:hAnsi="Calibri" w:cs="Calibri"/>
            <w:color w:val="0000FF"/>
          </w:rPr>
          <w:t>двенадцатом</w:t>
        </w:r>
      </w:hyperlink>
      <w:r>
        <w:rPr>
          <w:rFonts w:ascii="Calibri" w:hAnsi="Calibri" w:cs="Calibri"/>
        </w:rPr>
        <w:t xml:space="preserve"> настоящего пункта.</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Затраты на приобретение основных сре</w:t>
      </w:r>
      <w:proofErr w:type="gramStart"/>
      <w:r>
        <w:rPr>
          <w:rFonts w:ascii="Calibri" w:hAnsi="Calibri" w:cs="Calibri"/>
        </w:rPr>
        <w:t>дств вкл</w:t>
      </w:r>
      <w:proofErr w:type="gramEnd"/>
      <w:r>
        <w:rPr>
          <w:rFonts w:ascii="Calibri" w:hAnsi="Calibri" w:cs="Calibri"/>
        </w:rPr>
        <w:t>ючают в себя: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приобретение транспортных средств;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приобретение мебели;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приобретение систем кондиционирования;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нормативные затраты, относящиеся к затратам на приобретение основных сре</w:t>
      </w:r>
      <w:proofErr w:type="gramStart"/>
      <w:r>
        <w:rPr>
          <w:rFonts w:ascii="Calibri" w:hAnsi="Calibri" w:cs="Calibri"/>
        </w:rPr>
        <w:t>дств в р</w:t>
      </w:r>
      <w:proofErr w:type="gramEnd"/>
      <w:r>
        <w:rPr>
          <w:rFonts w:ascii="Calibri" w:hAnsi="Calibri" w:cs="Calibri"/>
        </w:rPr>
        <w:t xml:space="preserve">амках затрат, указанных в </w:t>
      </w:r>
      <w:hyperlink w:anchor="Par142" w:history="1">
        <w:r>
          <w:rPr>
            <w:rFonts w:ascii="Calibri" w:hAnsi="Calibri" w:cs="Calibri"/>
            <w:color w:val="0000FF"/>
          </w:rPr>
          <w:t>абзацах первом</w:t>
        </w:r>
      </w:hyperlink>
      <w:r>
        <w:rPr>
          <w:rFonts w:ascii="Calibri" w:hAnsi="Calibri" w:cs="Calibri"/>
        </w:rPr>
        <w:t xml:space="preserve"> - </w:t>
      </w:r>
      <w:hyperlink w:anchor="Par153" w:history="1">
        <w:r>
          <w:rPr>
            <w:rFonts w:ascii="Calibri" w:hAnsi="Calibri" w:cs="Calibri"/>
            <w:color w:val="0000FF"/>
          </w:rPr>
          <w:t>двенадцатом</w:t>
        </w:r>
      </w:hyperlink>
      <w:r>
        <w:rPr>
          <w:rFonts w:ascii="Calibri" w:hAnsi="Calibri" w:cs="Calibri"/>
        </w:rPr>
        <w:t xml:space="preserve"> настоящего пункта.</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Затраты на приобретение материальных запасов, не отнесенные к затратам, указанным в </w:t>
      </w:r>
      <w:hyperlink w:anchor="Par55" w:history="1">
        <w:r>
          <w:rPr>
            <w:rFonts w:ascii="Calibri" w:hAnsi="Calibri" w:cs="Calibri"/>
            <w:color w:val="0000FF"/>
          </w:rPr>
          <w:t>пунктах 7</w:t>
        </w:r>
      </w:hyperlink>
      <w:r>
        <w:rPr>
          <w:rFonts w:ascii="Calibri" w:hAnsi="Calibri" w:cs="Calibri"/>
        </w:rPr>
        <w:t xml:space="preserve"> - </w:t>
      </w:r>
      <w:hyperlink w:anchor="Par135" w:history="1">
        <w:r>
          <w:rPr>
            <w:rFonts w:ascii="Calibri" w:hAnsi="Calibri" w:cs="Calibri"/>
            <w:color w:val="0000FF"/>
          </w:rPr>
          <w:t>13</w:t>
        </w:r>
      </w:hyperlink>
      <w:r>
        <w:rPr>
          <w:rFonts w:ascii="Calibri" w:hAnsi="Calibri" w:cs="Calibri"/>
        </w:rPr>
        <w:t xml:space="preserve"> настоящего документа, включают в себя: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приобретение бланочной продукции;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приобретение канцелярских принадлежностей;</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приобретение хозяйственных товаров и принадлежностей;</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приобретение горюче-смазочных материалов;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приобретение запасных частей для транспортных средств;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затраты на приобретение материальных запасов для нужд гражданской обороны;</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нормативные затраты, относящиеся к затратам на приобретение материальных запасов в рамках затрат, указанных в </w:t>
      </w:r>
      <w:hyperlink w:anchor="Par142" w:history="1">
        <w:r>
          <w:rPr>
            <w:rFonts w:ascii="Calibri" w:hAnsi="Calibri" w:cs="Calibri"/>
            <w:color w:val="0000FF"/>
          </w:rPr>
          <w:t>абзацах первом</w:t>
        </w:r>
      </w:hyperlink>
      <w:r>
        <w:rPr>
          <w:rFonts w:ascii="Calibri" w:hAnsi="Calibri" w:cs="Calibri"/>
        </w:rPr>
        <w:t xml:space="preserve"> - </w:t>
      </w:r>
      <w:hyperlink w:anchor="Par153" w:history="1">
        <w:r>
          <w:rPr>
            <w:rFonts w:ascii="Calibri" w:hAnsi="Calibri" w:cs="Calibri"/>
            <w:color w:val="0000FF"/>
          </w:rPr>
          <w:t>двенадцатом</w:t>
        </w:r>
      </w:hyperlink>
      <w:r>
        <w:rPr>
          <w:rFonts w:ascii="Calibri" w:hAnsi="Calibri" w:cs="Calibri"/>
        </w:rPr>
        <w:t xml:space="preserve"> настоящего пункта.</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Формулы расчета, применяемые при определении нормативных затрат, учитывают:</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установленные государственными органами, органами управления государственными внебюджетными фондами и муниципальными органами нормативы материально-технического обеспечения указанных органов, их территориальных органов и находящихся в их ведении казенных учреждений;</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сроки эксплуатации (в отношении основных средств);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численность работников, определяемую в соответствии с </w:t>
      </w:r>
      <w:hyperlink w:anchor="Par215" w:history="1">
        <w:r>
          <w:rPr>
            <w:rFonts w:ascii="Calibri" w:hAnsi="Calibri" w:cs="Calibri"/>
            <w:color w:val="0000FF"/>
          </w:rPr>
          <w:t>пунктами 17</w:t>
        </w:r>
      </w:hyperlink>
      <w:r>
        <w:rPr>
          <w:rFonts w:ascii="Calibri" w:hAnsi="Calibri" w:cs="Calibri"/>
        </w:rPr>
        <w:t xml:space="preserve"> - </w:t>
      </w:r>
      <w:hyperlink w:anchor="Par239" w:history="1">
        <w:r>
          <w:rPr>
            <w:rFonts w:ascii="Calibri" w:hAnsi="Calibri" w:cs="Calibri"/>
            <w:color w:val="0000FF"/>
          </w:rPr>
          <w:t>22</w:t>
        </w:r>
      </w:hyperlink>
      <w:r>
        <w:rPr>
          <w:rFonts w:ascii="Calibri" w:hAnsi="Calibri" w:cs="Calibri"/>
        </w:rPr>
        <w:t xml:space="preserve"> настоящего документа;</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остатки основных средств и материальных запасов;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цену единицы планируемых к приобретению товаров, работ и услуг.</w:t>
      </w:r>
    </w:p>
    <w:p w:rsidR="00EB403B" w:rsidRDefault="00EB403B">
      <w:pPr>
        <w:widowControl w:val="0"/>
        <w:autoSpaceDE w:val="0"/>
        <w:autoSpaceDN w:val="0"/>
        <w:adjustRightInd w:val="0"/>
        <w:spacing w:after="0" w:line="240" w:lineRule="auto"/>
        <w:ind w:firstLine="540"/>
        <w:jc w:val="both"/>
        <w:rPr>
          <w:rFonts w:ascii="Calibri" w:hAnsi="Calibri" w:cs="Calibri"/>
        </w:rPr>
      </w:pPr>
      <w:bookmarkStart w:id="10" w:name="Par215"/>
      <w:bookmarkEnd w:id="10"/>
      <w:r>
        <w:rPr>
          <w:rFonts w:ascii="Calibri" w:hAnsi="Calibri" w:cs="Calibri"/>
        </w:rPr>
        <w:t>17. При определении нормативных затрат используется показатель расчетной численности основных работников.</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расчетной численности основных работников для федеральных государственных органов, не относящихся к сфере национальной безопасности, правоохранительной деятельности и обороны, определяется по формуле:</w:t>
      </w:r>
    </w:p>
    <w:p w:rsidR="00EB403B" w:rsidRDefault="00EB403B">
      <w:pPr>
        <w:widowControl w:val="0"/>
        <w:autoSpaceDE w:val="0"/>
        <w:autoSpaceDN w:val="0"/>
        <w:adjustRightInd w:val="0"/>
        <w:spacing w:after="0" w:line="240" w:lineRule="auto"/>
        <w:jc w:val="both"/>
        <w:rPr>
          <w:rFonts w:ascii="Calibri" w:hAnsi="Calibri" w:cs="Calibri"/>
        </w:rPr>
      </w:pPr>
    </w:p>
    <w:p w:rsidR="00EB403B" w:rsidRDefault="00EB403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21.75pt">
            <v:imagedata r:id="rId11" o:title=""/>
          </v:shape>
        </w:pict>
      </w:r>
      <w:r>
        <w:rPr>
          <w:rFonts w:ascii="Calibri" w:hAnsi="Calibri" w:cs="Calibri"/>
        </w:rPr>
        <w:t>,</w:t>
      </w:r>
    </w:p>
    <w:p w:rsidR="00EB403B" w:rsidRDefault="00EB403B">
      <w:pPr>
        <w:widowControl w:val="0"/>
        <w:autoSpaceDE w:val="0"/>
        <w:autoSpaceDN w:val="0"/>
        <w:adjustRightInd w:val="0"/>
        <w:spacing w:after="0" w:line="240" w:lineRule="auto"/>
        <w:jc w:val="both"/>
        <w:rPr>
          <w:rFonts w:ascii="Calibri" w:hAnsi="Calibri" w:cs="Calibri"/>
        </w:rPr>
      </w:pP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6" type="#_x0000_t75" style="width:18pt;height:19.5pt">
            <v:imagedata r:id="rId12" o:title=""/>
          </v:shape>
        </w:pict>
      </w:r>
      <w:r>
        <w:rPr>
          <w:rFonts w:ascii="Calibri" w:hAnsi="Calibri" w:cs="Calibri"/>
        </w:rPr>
        <w:t xml:space="preserve"> - фактическая численность служащих;</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27" type="#_x0000_t75" style="width:18pt;height:21.75pt">
            <v:imagedata r:id="rId13" o:title=""/>
          </v:shape>
        </w:pict>
      </w:r>
      <w:r>
        <w:rPr>
          <w:rFonts w:ascii="Calibri" w:hAnsi="Calibri" w:cs="Calibri"/>
        </w:rPr>
        <w:t xml:space="preserve"> - фактическая численность работников, замещающих должности, не являющиеся должностями службы;</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8" type="#_x0000_t75" style="width:27.75pt;height:19.5pt">
            <v:imagedata r:id="rId14" o:title=""/>
          </v:shape>
        </w:pict>
      </w:r>
      <w:r>
        <w:rPr>
          <w:rFonts w:ascii="Calibri" w:hAnsi="Calibri" w:cs="Calibri"/>
        </w:rPr>
        <w:t xml:space="preserve"> </w:t>
      </w:r>
      <w:proofErr w:type="gramStart"/>
      <w:r>
        <w:rPr>
          <w:rFonts w:ascii="Calibri" w:hAnsi="Calibri" w:cs="Calibri"/>
        </w:rPr>
        <w:t xml:space="preserve">- фактическая численность работников, денежное содержание которых осуществляется в рамках системы оплаты труда, определенной в соответствии с </w:t>
      </w:r>
      <w:hyperlink r:id="rId15"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5 августа 2008 г. N 583 "О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w:t>
      </w:r>
      <w:proofErr w:type="gramEnd"/>
      <w:r>
        <w:rPr>
          <w:rFonts w:ascii="Calibri" w:hAnsi="Calibri" w:cs="Calibri"/>
        </w:rPr>
        <w:t xml:space="preserve"> предусмотрена военная и приравненная к ней служба,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 коэффициент, который может быть использован на случай замещения вакантных должностей.</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proofErr w:type="gramStart"/>
      <w:r>
        <w:rPr>
          <w:rFonts w:ascii="Calibri" w:hAnsi="Calibri" w:cs="Calibri"/>
        </w:rPr>
        <w:t>Показатель расчетной численности основных работников (</w:t>
      </w:r>
      <w:r>
        <w:rPr>
          <w:rFonts w:ascii="Calibri" w:hAnsi="Calibri" w:cs="Calibri"/>
          <w:position w:val="-12"/>
        </w:rPr>
        <w:pict>
          <v:shape id="_x0000_i1029" type="#_x0000_t75" style="width:21.75pt;height:19.5pt">
            <v:imagedata r:id="rId16" o:title=""/>
          </v:shape>
        </w:pict>
      </w:r>
      <w:r>
        <w:rPr>
          <w:rFonts w:ascii="Calibri" w:hAnsi="Calibri" w:cs="Calibri"/>
        </w:rPr>
        <w:t>) для государственных органов субъектов Российской Федерации и муниципальных органов, не относящихся к сфере национальной безопасности, правоохранительной деятельности и обороны, определяется по формуле, установленной для федеральных государственных органов, не относящихся к сфере национальной безопасности, правоохранительной деятельности и обороны, если в соответствии с настоящим документом в требованиях к определению нормативных затрат, утвержденных государственными органами субъектов Российской Федерации</w:t>
      </w:r>
      <w:proofErr w:type="gramEnd"/>
      <w:r>
        <w:rPr>
          <w:rFonts w:ascii="Calibri" w:hAnsi="Calibri" w:cs="Calibri"/>
        </w:rPr>
        <w:t xml:space="preserve"> или муниципальными органами, не установлен иной порядок расчета показателя.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Показатель расчетной численности основных работников</w:t>
      </w:r>
      <w:proofErr w:type="gramStart"/>
      <w:r>
        <w:rPr>
          <w:rFonts w:ascii="Calibri" w:hAnsi="Calibri" w:cs="Calibri"/>
        </w:rPr>
        <w:t xml:space="preserve"> (</w:t>
      </w:r>
      <w:r>
        <w:rPr>
          <w:rFonts w:ascii="Calibri" w:hAnsi="Calibri" w:cs="Calibri"/>
          <w:position w:val="-12"/>
        </w:rPr>
        <w:pict>
          <v:shape id="_x0000_i1030" type="#_x0000_t75" style="width:21.75pt;height:19.5pt">
            <v:imagedata r:id="rId17" o:title=""/>
          </v:shape>
        </w:pict>
      </w:r>
      <w:r>
        <w:rPr>
          <w:rFonts w:ascii="Calibri" w:hAnsi="Calibri" w:cs="Calibri"/>
        </w:rPr>
        <w:t xml:space="preserve">) </w:t>
      </w:r>
      <w:proofErr w:type="gramEnd"/>
      <w:r>
        <w:rPr>
          <w:rFonts w:ascii="Calibri" w:hAnsi="Calibri" w:cs="Calibri"/>
        </w:rPr>
        <w:t>для федеральных государственных органов, относящихся к сфере национальной безопасности, правоохранительной деятельности и обороны, определяется по формуле:</w:t>
      </w:r>
    </w:p>
    <w:p w:rsidR="00EB403B" w:rsidRDefault="00EB403B">
      <w:pPr>
        <w:widowControl w:val="0"/>
        <w:autoSpaceDE w:val="0"/>
        <w:autoSpaceDN w:val="0"/>
        <w:adjustRightInd w:val="0"/>
        <w:spacing w:after="0" w:line="240" w:lineRule="auto"/>
        <w:jc w:val="both"/>
        <w:rPr>
          <w:rFonts w:ascii="Calibri" w:hAnsi="Calibri" w:cs="Calibri"/>
        </w:rPr>
      </w:pPr>
    </w:p>
    <w:p w:rsidR="00EB403B" w:rsidRDefault="00EB403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031" type="#_x0000_t75" style="width:250.5pt;height:21.75pt">
            <v:imagedata r:id="rId18" o:title=""/>
          </v:shape>
        </w:pict>
      </w:r>
      <w:r>
        <w:rPr>
          <w:rFonts w:ascii="Calibri" w:hAnsi="Calibri" w:cs="Calibri"/>
        </w:rPr>
        <w:t>,</w:t>
      </w:r>
    </w:p>
    <w:p w:rsidR="00EB403B" w:rsidRDefault="00EB403B">
      <w:pPr>
        <w:widowControl w:val="0"/>
        <w:autoSpaceDE w:val="0"/>
        <w:autoSpaceDN w:val="0"/>
        <w:adjustRightInd w:val="0"/>
        <w:spacing w:after="0" w:line="240" w:lineRule="auto"/>
        <w:jc w:val="both"/>
        <w:rPr>
          <w:rFonts w:ascii="Calibri" w:hAnsi="Calibri" w:cs="Calibri"/>
        </w:rPr>
      </w:pP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2" type="#_x0000_t75" style="width:27.75pt;height:19.5pt">
            <v:imagedata r:id="rId19" o:title=""/>
          </v:shape>
        </w:pict>
      </w:r>
      <w:r>
        <w:rPr>
          <w:rFonts w:ascii="Calibri" w:hAnsi="Calibri" w:cs="Calibri"/>
        </w:rPr>
        <w:t xml:space="preserve"> - фактическая численность работников, являющихся военнослужащими;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3" type="#_x0000_t75" style="width:34.5pt;height:19.5pt">
            <v:imagedata r:id="rId20" o:title=""/>
          </v:shape>
        </w:pict>
      </w:r>
      <w:r>
        <w:rPr>
          <w:rFonts w:ascii="Calibri" w:hAnsi="Calibri" w:cs="Calibri"/>
        </w:rPr>
        <w:t xml:space="preserve"> - фактическая численность сотрудников, имеющих специальные звания.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20. </w:t>
      </w:r>
      <w:proofErr w:type="gramStart"/>
      <w:r>
        <w:rPr>
          <w:rFonts w:ascii="Calibri" w:hAnsi="Calibri" w:cs="Calibri"/>
        </w:rPr>
        <w:t>Показатель расчетной численности основных работников (</w:t>
      </w:r>
      <w:r>
        <w:rPr>
          <w:rFonts w:ascii="Calibri" w:hAnsi="Calibri" w:cs="Calibri"/>
          <w:position w:val="-12"/>
        </w:rPr>
        <w:pict>
          <v:shape id="_x0000_i1034" type="#_x0000_t75" style="width:21.75pt;height:19.5pt">
            <v:imagedata r:id="rId17" o:title=""/>
          </v:shape>
        </w:pict>
      </w:r>
      <w:r>
        <w:rPr>
          <w:rFonts w:ascii="Calibri" w:hAnsi="Calibri" w:cs="Calibri"/>
        </w:rPr>
        <w:t>) для государственных органов субъектов Российской Федерации и муниципальных органов, относящихся к сфере национальной безопасности, правоохранительной деятельности и обороны, определяется по формуле, установленной для федеральных государственных органов, относящихся к сфере национальной безопасности, правоохранительной деятельности и обороны, если в соответствии с настоящим документом в требованиях к определению нормативных затрат, утвержденных государственными органами субъектов Российской Федерации или муниципальными</w:t>
      </w:r>
      <w:proofErr w:type="gramEnd"/>
      <w:r>
        <w:rPr>
          <w:rFonts w:ascii="Calibri" w:hAnsi="Calibri" w:cs="Calibri"/>
        </w:rPr>
        <w:t xml:space="preserve"> органами, не установлен иной порядок расчета показателя.</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Показатель расчетной численности основных работников</w:t>
      </w:r>
      <w:proofErr w:type="gramStart"/>
      <w:r>
        <w:rPr>
          <w:rFonts w:ascii="Calibri" w:hAnsi="Calibri" w:cs="Calibri"/>
        </w:rPr>
        <w:t xml:space="preserve"> (</w:t>
      </w:r>
      <w:r>
        <w:rPr>
          <w:rFonts w:ascii="Calibri" w:hAnsi="Calibri" w:cs="Calibri"/>
          <w:position w:val="-12"/>
        </w:rPr>
        <w:pict>
          <v:shape id="_x0000_i1035" type="#_x0000_t75" style="width:21.75pt;height:19.5pt">
            <v:imagedata r:id="rId17" o:title=""/>
          </v:shape>
        </w:pict>
      </w:r>
      <w:r>
        <w:rPr>
          <w:rFonts w:ascii="Calibri" w:hAnsi="Calibri" w:cs="Calibri"/>
        </w:rPr>
        <w:t xml:space="preserve">) </w:t>
      </w:r>
      <w:proofErr w:type="gramEnd"/>
      <w:r>
        <w:rPr>
          <w:rFonts w:ascii="Calibri" w:hAnsi="Calibri" w:cs="Calibri"/>
        </w:rPr>
        <w:t>для государственных внебюджетных фондов определяется по формуле:</w:t>
      </w:r>
    </w:p>
    <w:p w:rsidR="00EB403B" w:rsidRDefault="00EB403B">
      <w:pPr>
        <w:widowControl w:val="0"/>
        <w:autoSpaceDE w:val="0"/>
        <w:autoSpaceDN w:val="0"/>
        <w:adjustRightInd w:val="0"/>
        <w:spacing w:after="0" w:line="240" w:lineRule="auto"/>
        <w:jc w:val="both"/>
        <w:rPr>
          <w:rFonts w:ascii="Calibri" w:hAnsi="Calibri" w:cs="Calibri"/>
        </w:rPr>
      </w:pPr>
    </w:p>
    <w:p w:rsidR="00EB403B" w:rsidRDefault="00EB403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036" type="#_x0000_t75" style="width:87pt;height:21.75pt">
            <v:imagedata r:id="rId21" o:title=""/>
          </v:shape>
        </w:pict>
      </w:r>
      <w:r>
        <w:rPr>
          <w:rFonts w:ascii="Calibri" w:hAnsi="Calibri" w:cs="Calibri"/>
        </w:rPr>
        <w:t>,</w:t>
      </w:r>
    </w:p>
    <w:p w:rsidR="00EB403B" w:rsidRDefault="00EB403B">
      <w:pPr>
        <w:widowControl w:val="0"/>
        <w:autoSpaceDE w:val="0"/>
        <w:autoSpaceDN w:val="0"/>
        <w:adjustRightInd w:val="0"/>
        <w:spacing w:after="0" w:line="240" w:lineRule="auto"/>
        <w:jc w:val="both"/>
        <w:rPr>
          <w:rFonts w:ascii="Calibri" w:hAnsi="Calibri" w:cs="Calibri"/>
        </w:rPr>
      </w:pP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w:t>
      </w:r>
      <w:r>
        <w:rPr>
          <w:rFonts w:ascii="Calibri" w:hAnsi="Calibri" w:cs="Calibri"/>
          <w:position w:val="-14"/>
        </w:rPr>
        <w:pict>
          <v:shape id="_x0000_i1037" type="#_x0000_t75" style="width:18pt;height:21.75pt">
            <v:imagedata r:id="rId22" o:title=""/>
          </v:shape>
        </w:pict>
      </w:r>
      <w:r>
        <w:rPr>
          <w:rFonts w:ascii="Calibri" w:hAnsi="Calibri" w:cs="Calibri"/>
        </w:rPr>
        <w:t xml:space="preserve"> - фактическая численность работников государственного внебюджетного фонда.</w:t>
      </w:r>
    </w:p>
    <w:p w:rsidR="00EB403B" w:rsidRDefault="00EB403B">
      <w:pPr>
        <w:widowControl w:val="0"/>
        <w:autoSpaceDE w:val="0"/>
        <w:autoSpaceDN w:val="0"/>
        <w:adjustRightInd w:val="0"/>
        <w:spacing w:after="0" w:line="240" w:lineRule="auto"/>
        <w:ind w:firstLine="540"/>
        <w:jc w:val="both"/>
        <w:rPr>
          <w:rFonts w:ascii="Calibri" w:hAnsi="Calibri" w:cs="Calibri"/>
        </w:rPr>
      </w:pPr>
      <w:bookmarkStart w:id="11" w:name="Par239"/>
      <w:bookmarkEnd w:id="11"/>
      <w:r>
        <w:rPr>
          <w:rFonts w:ascii="Calibri" w:hAnsi="Calibri" w:cs="Calibri"/>
        </w:rPr>
        <w:t>22. В случае если полученное значение расчетной численности превышает значение предельной численности, при определении нормативных затрат используется значение предельной численности.</w:t>
      </w:r>
    </w:p>
    <w:p w:rsidR="00EB403B" w:rsidRDefault="00EB40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Цена единицы планируемых к приобретению товаров, работ и услуг в формулах расчета определяется с учетом положений </w:t>
      </w:r>
      <w:hyperlink r:id="rId23" w:history="1">
        <w:r>
          <w:rPr>
            <w:rFonts w:ascii="Calibri" w:hAnsi="Calibri" w:cs="Calibri"/>
            <w:color w:val="0000FF"/>
          </w:rPr>
          <w:t>статьи 22</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EB403B" w:rsidRDefault="00EB403B">
      <w:pPr>
        <w:widowControl w:val="0"/>
        <w:autoSpaceDE w:val="0"/>
        <w:autoSpaceDN w:val="0"/>
        <w:adjustRightInd w:val="0"/>
        <w:spacing w:after="0" w:line="240" w:lineRule="auto"/>
        <w:jc w:val="both"/>
        <w:rPr>
          <w:rFonts w:ascii="Calibri" w:hAnsi="Calibri" w:cs="Calibri"/>
        </w:rPr>
      </w:pPr>
    </w:p>
    <w:p w:rsidR="00EB403B" w:rsidRDefault="00EB403B">
      <w:pPr>
        <w:widowControl w:val="0"/>
        <w:autoSpaceDE w:val="0"/>
        <w:autoSpaceDN w:val="0"/>
        <w:adjustRightInd w:val="0"/>
        <w:spacing w:after="0" w:line="240" w:lineRule="auto"/>
        <w:jc w:val="both"/>
        <w:rPr>
          <w:rFonts w:ascii="Calibri" w:hAnsi="Calibri" w:cs="Calibri"/>
        </w:rPr>
      </w:pPr>
    </w:p>
    <w:p w:rsidR="00EB403B" w:rsidRDefault="00EB403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A064D" w:rsidRDefault="000A064D">
      <w:bookmarkStart w:id="12" w:name="_GoBack"/>
      <w:bookmarkEnd w:id="12"/>
    </w:p>
    <w:sectPr w:rsidR="000A064D" w:rsidSect="000E0A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03B"/>
    <w:rsid w:val="000A064D"/>
    <w:rsid w:val="00EB4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FDDCDA3AE72CCA57DE6A4B9301F4B9049462BC191DDA4C8B9DE66663C7F296C4AED0C8B8510812HDb9G" TargetMode="External"/><Relationship Id="rId13" Type="http://schemas.openxmlformats.org/officeDocument/2006/relationships/image" Target="media/image3.wmf"/><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image" Target="media/image10.wmf"/><Relationship Id="rId7" Type="http://schemas.openxmlformats.org/officeDocument/2006/relationships/hyperlink" Target="consultantplus://offline/ref=4BFDDCDA3AE72CCA57DE6A4B9301F4B9049462BC191DDA4C8B9DE66663C7F296C4AED0C8B8510813HDb9G" TargetMode="External"/><Relationship Id="rId12" Type="http://schemas.openxmlformats.org/officeDocument/2006/relationships/image" Target="media/image2.wmf"/><Relationship Id="rId17" Type="http://schemas.openxmlformats.org/officeDocument/2006/relationships/image" Target="media/image6.wmf"/><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5.wmf"/><Relationship Id="rId20" Type="http://schemas.openxmlformats.org/officeDocument/2006/relationships/image" Target="media/image9.wmf"/><Relationship Id="rId1" Type="http://schemas.openxmlformats.org/officeDocument/2006/relationships/styles" Target="styles.xml"/><Relationship Id="rId6" Type="http://schemas.openxmlformats.org/officeDocument/2006/relationships/hyperlink" Target="consultantplus://offline/ref=4BFDDCDA3AE72CCA57DE6A4B9301F4B9049462BC191DDA4C8B9DE66663C7F296C4AED0C8B8500110HDbBG" TargetMode="Externa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4BFDDCDA3AE72CCA57DE6A4B9301F4B9049760BC1818DA4C8B9DE66663HCb7G" TargetMode="External"/><Relationship Id="rId23" Type="http://schemas.openxmlformats.org/officeDocument/2006/relationships/hyperlink" Target="consultantplus://offline/ref=4BFDDCDA3AE72CCA57DE6A4B9301F4B9049462BC191DDA4C8B9DE66663C7F296C4AED0C8B8510B14HDb2G" TargetMode="External"/><Relationship Id="rId10" Type="http://schemas.openxmlformats.org/officeDocument/2006/relationships/hyperlink" Target="consultantplus://offline/ref=4BFDDCDA3AE72CCA57DE6A4B9301F4B9049462BC191DDA4C8B9DE66663C7F296C4AED0C8B8500110HDb8G" TargetMode="External"/><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hyperlink" Target="consultantplus://offline/ref=4BFDDCDA3AE72CCA57DE6A4B9301F4B9049462BC191DDA4C8B9DE66663C7F296C4AED0C8B8510813HDbFG" TargetMode="External"/><Relationship Id="rId14" Type="http://schemas.openxmlformats.org/officeDocument/2006/relationships/image" Target="media/image4.wmf"/><Relationship Id="rId22" Type="http://schemas.openxmlformats.org/officeDocument/2006/relationships/image" Target="media/image1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4287</Words>
  <Characters>24442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2014-10-20T06:27:00Z</dcterms:created>
  <dcterms:modified xsi:type="dcterms:W3CDTF">2014-10-20T06:28:00Z</dcterms:modified>
</cp:coreProperties>
</file>